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Gottlieb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Dakota.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Nevada.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McCaskill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prognostications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50.3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00:04:12]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Kemp's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scrubbed.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ineligible,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conceding.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Gottlieb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lieutenant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Abbott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lieutenant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51%.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Paxton,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franchise.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lieutenant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reelection.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Cruz.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00:08:19]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lieutenant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lieutenant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00:09:40]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Bullocks.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00:10:45]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Acosta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Acosta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posture."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subpoena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Pelosi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Pelosi.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US/Mexico/Canada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aisles.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Sherrod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NPR,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DeSantis.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Sherrod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Pennsylvania,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Wisconsin.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Wisconsin,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Presidency.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tsunami?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sympathies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42%.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stronghold.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asylum.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sizable.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O'Rourke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gubernatorial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Gillum.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DeSantis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midterms.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delusional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marvelous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Democratic-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Hot Take_Publish (Completed  11/09/18)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38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