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Raymond,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H.W.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H.W.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Griffin,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Griffin,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Krueger,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Griffin,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[Portney 00:07:30]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00:08:04]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[Combs 00:09:15]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00:10:31].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Raymond,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compartmentalize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restructuring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restructuring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Krueger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[Annie 00:14:39]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Hershey's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Hershey's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chocolateers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heritage.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Scandinavian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nationalized?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abruptly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[TAMU 00:17:41]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embassy.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fuzzy,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embassy.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32,500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32,500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32,500,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liberalizing.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supersede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anti-dumping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McNamara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heterogeneity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Puche's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WTO.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Mosbacher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bugaboo.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Raymond's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00:35:42].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synchronized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00:36:01],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Avocados.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Avocados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guacamole.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guacamole.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guacamole.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guacamole.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avocado.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avocados.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strawberries.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Avocados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cholesterol,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avocado,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walls."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[better 00:39:23]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bootstraps.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taconite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"Compete.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unproductive.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coefficients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Dakota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blacksmiths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horseshoes.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blacksmiths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Raymond,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00:48:32].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[Greko 00:48:38]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Bush School Uncorked_Raymond Robertson_Mosbacher... (Completed  03/30/19)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"https://www.rev.com/transcript-editor/Edit?token=PQwFkwOmtEQLkpG2uOfDOicdQT-iObRO8f9QNb7shDlZraFAE7aSirM0ZHmg7mLLsZy1LoM5rX9yGhGFlPuUUxDg6bc&amp;loadFrom=DocumentHeaderDeepLink"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