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Aggieland,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in-person.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year-long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Aggieland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A&amp;M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alumni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Bush.TAMU.edu/online.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Bush School Uncorked_Online Education (Completed  03/30/19)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"https://www.rev.com/transcript-editor/Edit?token=MDBwAUCDyTR8tLMCWef6S1853OvHzD7Yglot9RY4IbZLENvneFW4vtvGRU4NL29BDblCECRRCiwOjBUs2rrtuYcMuv8&amp;loadFrom=DocumentHeaderDeepLink"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